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left"/>
        <w:tblInd w:w="-5.0" w:type="dxa"/>
        <w:tblLayout w:type="fixed"/>
        <w:tblLook w:val="0400"/>
      </w:tblPr>
      <w:tblGrid>
        <w:gridCol w:w="1985"/>
        <w:gridCol w:w="2977"/>
        <w:gridCol w:w="1134"/>
        <w:gridCol w:w="1134"/>
        <w:gridCol w:w="2409"/>
        <w:tblGridChange w:id="0">
          <w:tblGrid>
            <w:gridCol w:w="1985"/>
            <w:gridCol w:w="2977"/>
            <w:gridCol w:w="1134"/>
            <w:gridCol w:w="1134"/>
            <w:gridCol w:w="2409"/>
          </w:tblGrid>
        </w:tblGridChange>
      </w:tblGrid>
      <w:tr>
        <w:trPr>
          <w:cantSplit w:val="0"/>
          <w:trHeight w:val="32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2">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03">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Fecha </w:t>
            </w:r>
          </w:p>
        </w:tc>
        <w:tc>
          <w:tcPr>
            <w:gridSpan w:val="2"/>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04">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Hora de Inicio</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06">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Hora de Fin</w:t>
            </w:r>
          </w:p>
        </w:tc>
      </w:tr>
      <w:tr>
        <w:trPr>
          <w:cantSplit w:val="0"/>
          <w:trHeight w:val="328"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7">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8">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gridSpan w:val="2"/>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9">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0B">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28"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Lugar:</w:t>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D">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0F">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Sede: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0">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28"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1">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Asunto o Tema a Tratar:</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2">
            <w:pPr>
              <w:widowControl w:val="1"/>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3">
            <w:pPr>
              <w:widowControl w:val="1"/>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4">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328"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8">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Convocada o Liderada  por:</w:t>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bottom"/>
          </w:tcPr>
          <w:p w:rsidR="00000000" w:rsidDel="00000000" w:rsidP="00000000" w:rsidRDefault="00000000" w:rsidRPr="00000000" w14:paraId="0000001D">
            <w:pPr>
              <w:widowControl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f2f2f2" w:val="clear"/>
            <w:vAlign w:val="bottom"/>
          </w:tcPr>
          <w:p w:rsidR="00000000" w:rsidDel="00000000" w:rsidP="00000000" w:rsidRDefault="00000000" w:rsidRPr="00000000" w14:paraId="0000001F">
            <w:pPr>
              <w:widowControl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Área - Dependencia</w:t>
            </w:r>
          </w:p>
        </w:tc>
      </w:tr>
      <w:tr>
        <w:trPr>
          <w:cantSplit w:val="0"/>
          <w:trHeight w:val="27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widowControl w:val="1"/>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widowControl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4">
            <w:pPr>
              <w:widowControl w:val="1"/>
              <w:jc w:val="center"/>
              <w:rPr>
                <w:rFonts w:ascii="Calibri" w:cs="Calibri" w:eastAsia="Calibri" w:hAnsi="Calibri"/>
                <w:sz w:val="22"/>
                <w:szCs w:val="22"/>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6">
            <w:pPr>
              <w:widowControl w:val="1"/>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tbl>
      <w:tblPr>
        <w:tblStyle w:val="Table2"/>
        <w:tblW w:w="9639.0" w:type="dxa"/>
        <w:jc w:val="left"/>
        <w:tblInd w:w="-5.0" w:type="dxa"/>
        <w:tblLayout w:type="fixed"/>
        <w:tblLook w:val="0400"/>
      </w:tblPr>
      <w:tblGrid>
        <w:gridCol w:w="9639"/>
        <w:tblGridChange w:id="0">
          <w:tblGrid>
            <w:gridCol w:w="9639"/>
          </w:tblGrid>
        </w:tblGridChange>
      </w:tblGrid>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A">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Objetivo de la Reunión</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B">
            <w:pPr>
              <w:widowControl w:val="1"/>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C">
            <w:pPr>
              <w:widowControl w:val="1"/>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D">
            <w:pPr>
              <w:widowControl w:val="1"/>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E">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F">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Orden del Día</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widowControl w:val="1"/>
              <w:jc w:val="both"/>
              <w:rPr>
                <w:rFonts w:ascii="Calibri" w:cs="Calibri" w:eastAsia="Calibri" w:hAnsi="Calibri"/>
                <w:color w:val="a6a6a6"/>
                <w:sz w:val="22"/>
                <w:szCs w:val="22"/>
              </w:rPr>
            </w:pPr>
            <w:r w:rsidDel="00000000" w:rsidR="00000000" w:rsidRPr="00000000">
              <w:rPr>
                <w:rFonts w:ascii="Calibri" w:cs="Calibri" w:eastAsia="Calibri" w:hAnsi="Calibri"/>
                <w:color w:val="a6a6a6"/>
                <w:sz w:val="22"/>
                <w:szCs w:val="22"/>
                <w:rtl w:val="0"/>
              </w:rPr>
              <w:t xml:space="preserve">1.</w:t>
              <w:br w:type="textWrapping"/>
              <w:t xml:space="preserve">2.</w:t>
              <w:br w:type="textWrapping"/>
              <w:t xml:space="preserve">3.</w:t>
              <w:br w:type="textWrapping"/>
              <w:t xml:space="preserve">4.</w:t>
              <w:br w:type="textWrapping"/>
              <w:t xml:space="preserve">5.</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1">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Asuntos Tratados</w:t>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widowControl w:val="1"/>
              <w:jc w:val="both"/>
              <w:rPr>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sz w:val="22"/>
                <w:szCs w:val="22"/>
                <w:rtl w:val="0"/>
              </w:rPr>
              <w:t xml:space="preserve">¿Cómo puede la Universidad actualizar sus programas académicos de forma constante para responder a los desafíos actuales?</w:t>
            </w:r>
          </w:p>
          <w:p w:rsidR="00000000" w:rsidDel="00000000" w:rsidP="00000000" w:rsidRDefault="00000000" w:rsidRPr="00000000" w14:paraId="00000033">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34">
            <w:pPr>
              <w:widowControl w:val="1"/>
              <w:spacing w:line="276" w:lineRule="auto"/>
              <w:rPr>
                <w:sz w:val="22"/>
                <w:szCs w:val="22"/>
              </w:rPr>
            </w:pPr>
            <w:r w:rsidDel="00000000" w:rsidR="00000000" w:rsidRPr="00000000">
              <w:rPr>
                <w:sz w:val="22"/>
                <w:szCs w:val="22"/>
                <w:rtl w:val="0"/>
              </w:rPr>
              <w:t xml:space="preserve">Modificar el pensum de la carrera para que básicas cuente como créditos para la carrera (optativa de fundamentación solo para estudiantes de primer semestre)</w:t>
            </w:r>
          </w:p>
          <w:p w:rsidR="00000000" w:rsidDel="00000000" w:rsidP="00000000" w:rsidRDefault="00000000" w:rsidRPr="00000000" w14:paraId="00000035">
            <w:pPr>
              <w:widowControl w:val="1"/>
              <w:spacing w:line="276" w:lineRule="auto"/>
              <w:rPr>
                <w:sz w:val="22"/>
                <w:szCs w:val="22"/>
              </w:rPr>
            </w:pPr>
            <w:r w:rsidDel="00000000" w:rsidR="00000000" w:rsidRPr="00000000">
              <w:rPr>
                <w:sz w:val="22"/>
                <w:szCs w:val="22"/>
                <w:rtl w:val="0"/>
              </w:rPr>
              <w:t xml:space="preserve">Cambiar la metodología a 3 parciales, actualmente quedan muchos temas por parcial</w:t>
            </w:r>
          </w:p>
          <w:p w:rsidR="00000000" w:rsidDel="00000000" w:rsidP="00000000" w:rsidRDefault="00000000" w:rsidRPr="00000000" w14:paraId="00000036">
            <w:pPr>
              <w:widowControl w:val="1"/>
              <w:jc w:val="both"/>
              <w:rPr>
                <w:sz w:val="22"/>
                <w:szCs w:val="22"/>
              </w:rPr>
            </w:pPr>
            <w:r w:rsidDel="00000000" w:rsidR="00000000" w:rsidRPr="00000000">
              <w:rPr>
                <w:sz w:val="22"/>
                <w:szCs w:val="22"/>
                <w:rtl w:val="0"/>
              </w:rPr>
              <w:t xml:space="preserve">Los criterios para definir si alguien necesita ver matematicas básicas no están bien</w:t>
            </w:r>
          </w:p>
          <w:p w:rsidR="00000000" w:rsidDel="00000000" w:rsidP="00000000" w:rsidRDefault="00000000" w:rsidRPr="00000000" w14:paraId="00000037">
            <w:pPr>
              <w:widowControl w:val="1"/>
              <w:jc w:val="both"/>
              <w:rPr>
                <w:sz w:val="22"/>
                <w:szCs w:val="22"/>
              </w:rPr>
            </w:pPr>
            <w:r w:rsidDel="00000000" w:rsidR="00000000" w:rsidRPr="00000000">
              <w:rPr>
                <w:rtl w:val="0"/>
              </w:rPr>
            </w:r>
          </w:p>
          <w:p w:rsidR="00000000" w:rsidDel="00000000" w:rsidP="00000000" w:rsidRDefault="00000000" w:rsidRPr="00000000" w14:paraId="00000038">
            <w:pPr>
              <w:widowControl w:val="1"/>
              <w:jc w:val="both"/>
              <w:rPr>
                <w:sz w:val="22"/>
                <w:szCs w:val="22"/>
              </w:rPr>
            </w:pPr>
            <w:r w:rsidDel="00000000" w:rsidR="00000000" w:rsidRPr="00000000">
              <w:rPr>
                <w:sz w:val="22"/>
                <w:szCs w:val="22"/>
                <w:rtl w:val="0"/>
              </w:rPr>
              <w:t xml:space="preserve">Eliminar prerrequisitos para fundamentos de programación, no son necesarios.</w:t>
            </w:r>
          </w:p>
          <w:p w:rsidR="00000000" w:rsidDel="00000000" w:rsidP="00000000" w:rsidRDefault="00000000" w:rsidRPr="00000000" w14:paraId="00000039">
            <w:pPr>
              <w:widowControl w:val="1"/>
              <w:jc w:val="both"/>
              <w:rPr>
                <w:sz w:val="22"/>
                <w:szCs w:val="22"/>
              </w:rPr>
            </w:pPr>
            <w:r w:rsidDel="00000000" w:rsidR="00000000" w:rsidRPr="00000000">
              <w:rPr>
                <w:rtl w:val="0"/>
              </w:rPr>
            </w:r>
          </w:p>
          <w:p w:rsidR="00000000" w:rsidDel="00000000" w:rsidP="00000000" w:rsidRDefault="00000000" w:rsidRPr="00000000" w14:paraId="0000003A">
            <w:pPr>
              <w:widowControl w:val="1"/>
              <w:jc w:val="both"/>
              <w:rPr>
                <w:sz w:val="22"/>
                <w:szCs w:val="22"/>
              </w:rPr>
            </w:pPr>
            <w:r w:rsidDel="00000000" w:rsidR="00000000" w:rsidRPr="00000000">
              <w:rPr>
                <w:sz w:val="22"/>
                <w:szCs w:val="22"/>
                <w:rtl w:val="0"/>
              </w:rPr>
              <w:t xml:space="preserve">Mejorar e incentivar el uso del laboratorio y para ayudar a mantener la motivación estudiantil incentivar mas el uso práctico de lo aprendido en las materias, especialmente en nuestra carrera que es ampliamente dependiente en las habilidades blandas</w:t>
            </w:r>
          </w:p>
          <w:p w:rsidR="00000000" w:rsidDel="00000000" w:rsidP="00000000" w:rsidRDefault="00000000" w:rsidRPr="00000000" w14:paraId="0000003B">
            <w:pPr>
              <w:widowControl w:val="1"/>
              <w:jc w:val="both"/>
              <w:rPr>
                <w:sz w:val="22"/>
                <w:szCs w:val="22"/>
              </w:rPr>
            </w:pPr>
            <w:r w:rsidDel="00000000" w:rsidR="00000000" w:rsidRPr="00000000">
              <w:rPr>
                <w:sz w:val="22"/>
                <w:szCs w:val="22"/>
                <w:rtl w:val="0"/>
              </w:rPr>
              <w:t xml:space="preserve">Mas materias de marketing para administrativa e industrial, incluso si son libre elección</w:t>
            </w:r>
          </w:p>
          <w:p w:rsidR="00000000" w:rsidDel="00000000" w:rsidP="00000000" w:rsidRDefault="00000000" w:rsidRPr="00000000" w14:paraId="0000003C">
            <w:pPr>
              <w:widowControl w:val="1"/>
              <w:jc w:val="both"/>
              <w:rPr>
                <w:sz w:val="22"/>
                <w:szCs w:val="22"/>
              </w:rPr>
            </w:pPr>
            <w:r w:rsidDel="00000000" w:rsidR="00000000" w:rsidRPr="00000000">
              <w:rPr>
                <w:rtl w:val="0"/>
              </w:rPr>
            </w:r>
          </w:p>
          <w:p w:rsidR="00000000" w:rsidDel="00000000" w:rsidP="00000000" w:rsidRDefault="00000000" w:rsidRPr="00000000" w14:paraId="0000003D">
            <w:pPr>
              <w:widowControl w:val="1"/>
              <w:jc w:val="both"/>
              <w:rPr>
                <w:sz w:val="22"/>
                <w:szCs w:val="22"/>
              </w:rPr>
            </w:pPr>
            <w:r w:rsidDel="00000000" w:rsidR="00000000" w:rsidRPr="00000000">
              <w:rPr>
                <w:sz w:val="22"/>
                <w:szCs w:val="22"/>
                <w:rtl w:val="0"/>
              </w:rPr>
              <w:t xml:space="preserve">Estamos saliendo muy teóricos, ¿realmente preparados para el mundo real? ¿Que se espera para 20 o 30 años en el futuro? Centrarnos en qué realmente está siendo demandado por el mercado, y que tan factible es a largo plazo (industrial, analisis de datos, automatización del sector manufacturero el trabajo con software) (admin, analisis de datos, finanzas de mercado, finanzas personales)</w:t>
            </w:r>
          </w:p>
          <w:p w:rsidR="00000000" w:rsidDel="00000000" w:rsidP="00000000" w:rsidRDefault="00000000" w:rsidRPr="00000000" w14:paraId="0000003E">
            <w:pPr>
              <w:widowControl w:val="1"/>
              <w:spacing w:line="276" w:lineRule="auto"/>
              <w:rPr>
                <w:sz w:val="22"/>
                <w:szCs w:val="22"/>
              </w:rPr>
            </w:pPr>
            <w:r w:rsidDel="00000000" w:rsidR="00000000" w:rsidRPr="00000000">
              <w:rPr>
                <w:sz w:val="22"/>
                <w:szCs w:val="22"/>
                <w:rtl w:val="0"/>
              </w:rPr>
              <w:t xml:space="preserve">¿Debe la Universidad abordar discusiones en torno a la flexibilidad curricular para la creación de programas en los niveles tecnológicos y pedagógicos, sin comprometer la calidad educativa?</w:t>
            </w:r>
          </w:p>
          <w:p w:rsidR="00000000" w:rsidDel="00000000" w:rsidP="00000000" w:rsidRDefault="00000000" w:rsidRPr="00000000" w14:paraId="0000003F">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40">
            <w:pPr>
              <w:widowControl w:val="1"/>
              <w:spacing w:line="276" w:lineRule="auto"/>
              <w:rPr>
                <w:sz w:val="22"/>
                <w:szCs w:val="22"/>
              </w:rPr>
            </w:pPr>
            <w:r w:rsidDel="00000000" w:rsidR="00000000" w:rsidRPr="00000000">
              <w:rPr>
                <w:sz w:val="22"/>
                <w:szCs w:val="22"/>
                <w:rtl w:val="0"/>
              </w:rPr>
              <w:t xml:space="preserve">Es conveniente la aplicación y uso del ciclo propedéutico para que los estudiantes puedan mejorar su sostenimiento mientras estudian, los objetivos misionales deben cambiar y evolucionar a las necesidades actuales y como universidad pública, trabajar en el mejor beneficio de los estudiantes y la sociedad colombiana, facilitando la búsqueda de empleo e inserción en el mercado laboral.</w:t>
            </w:r>
          </w:p>
          <w:p w:rsidR="00000000" w:rsidDel="00000000" w:rsidP="00000000" w:rsidRDefault="00000000" w:rsidRPr="00000000" w14:paraId="00000041">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42">
            <w:pPr>
              <w:widowControl w:val="1"/>
              <w:spacing w:line="276" w:lineRule="auto"/>
              <w:rPr>
                <w:sz w:val="22"/>
                <w:szCs w:val="22"/>
              </w:rPr>
            </w:pPr>
            <w:r w:rsidDel="00000000" w:rsidR="00000000" w:rsidRPr="00000000">
              <w:rPr>
                <w:sz w:val="22"/>
                <w:szCs w:val="22"/>
                <w:rtl w:val="0"/>
              </w:rPr>
              <w:t xml:space="preserve">¿Qué cambios se requieren en los procesos administrativos y de gestión para que estos apoyen y faciliten de manera más eficiente las actividades académicas y misionales de la Universidad?</w:t>
              <w:tab/>
            </w:r>
          </w:p>
          <w:p w:rsidR="00000000" w:rsidDel="00000000" w:rsidP="00000000" w:rsidRDefault="00000000" w:rsidRPr="00000000" w14:paraId="00000043">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44">
            <w:pPr>
              <w:widowControl w:val="1"/>
              <w:spacing w:line="276" w:lineRule="auto"/>
              <w:rPr>
                <w:sz w:val="22"/>
                <w:szCs w:val="22"/>
              </w:rPr>
            </w:pPr>
            <w:r w:rsidDel="00000000" w:rsidR="00000000" w:rsidRPr="00000000">
              <w:rPr>
                <w:sz w:val="22"/>
                <w:szCs w:val="22"/>
                <w:rtl w:val="0"/>
              </w:rPr>
              <w:t xml:space="preserve">No es justo que los estudiantes con promedios altos no logren inscribir sus materias, pero tambien es necesario responder y apoyar a las necesidades de las distintas comunidades que rodean a la universidad</w:t>
            </w:r>
          </w:p>
          <w:p w:rsidR="00000000" w:rsidDel="00000000" w:rsidP="00000000" w:rsidRDefault="00000000" w:rsidRPr="00000000" w14:paraId="00000045">
            <w:pPr>
              <w:widowControl w:val="1"/>
              <w:spacing w:line="276" w:lineRule="auto"/>
              <w:rPr>
                <w:sz w:val="22"/>
                <w:szCs w:val="22"/>
              </w:rPr>
            </w:pPr>
            <w:r w:rsidDel="00000000" w:rsidR="00000000" w:rsidRPr="00000000">
              <w:rPr>
                <w:sz w:val="22"/>
                <w:szCs w:val="22"/>
                <w:rtl w:val="0"/>
              </w:rPr>
              <w:t xml:space="preserve">hay problemáticas con las matrículas de estudiantes del pensum viejo, con altas dificultades para encontrar cupos</w:t>
            </w:r>
          </w:p>
          <w:p w:rsidR="00000000" w:rsidDel="00000000" w:rsidP="00000000" w:rsidRDefault="00000000" w:rsidRPr="00000000" w14:paraId="00000046">
            <w:pPr>
              <w:widowControl w:val="1"/>
              <w:spacing w:line="276" w:lineRule="auto"/>
              <w:rPr>
                <w:sz w:val="22"/>
                <w:szCs w:val="22"/>
              </w:rPr>
            </w:pPr>
            <w:r w:rsidDel="00000000" w:rsidR="00000000" w:rsidRPr="00000000">
              <w:rPr>
                <w:sz w:val="22"/>
                <w:szCs w:val="22"/>
                <w:rtl w:val="0"/>
              </w:rPr>
              <w:t xml:space="preserve">Existe una amplia y muy fuerte necesidad de expandirla planta docente, lo cual solucionaría la falta de cupos</w:t>
            </w:r>
          </w:p>
          <w:p w:rsidR="00000000" w:rsidDel="00000000" w:rsidP="00000000" w:rsidRDefault="00000000" w:rsidRPr="00000000" w14:paraId="00000047">
            <w:pPr>
              <w:widowControl w:val="1"/>
              <w:spacing w:line="276" w:lineRule="auto"/>
              <w:rPr>
                <w:sz w:val="22"/>
                <w:szCs w:val="22"/>
              </w:rPr>
            </w:pPr>
            <w:r w:rsidDel="00000000" w:rsidR="00000000" w:rsidRPr="00000000">
              <w:rPr>
                <w:sz w:val="22"/>
                <w:szCs w:val="22"/>
                <w:rtl w:val="0"/>
              </w:rPr>
              <w:t xml:space="preserve">La posibilidad de que estudiantes de semestres menos avanzados puedan acceder a puestos dentro de la universidad.</w:t>
            </w:r>
          </w:p>
          <w:p w:rsidR="00000000" w:rsidDel="00000000" w:rsidP="00000000" w:rsidRDefault="00000000" w:rsidRPr="00000000" w14:paraId="00000048">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49">
            <w:pPr>
              <w:widowControl w:val="1"/>
              <w:spacing w:line="276" w:lineRule="auto"/>
              <w:rPr>
                <w:sz w:val="22"/>
                <w:szCs w:val="22"/>
              </w:rPr>
            </w:pPr>
            <w:r w:rsidDel="00000000" w:rsidR="00000000" w:rsidRPr="00000000">
              <w:rPr>
                <w:sz w:val="22"/>
                <w:szCs w:val="22"/>
                <w:rtl w:val="0"/>
              </w:rPr>
              <w:t xml:space="preserve">¿Cómo se podría mejorar la participación efectiva de todos los estamentos (estudiantes, docentes, administrativos y egresados) en la toma de decisiones y el gobierno universitario?</w:t>
            </w:r>
          </w:p>
          <w:p w:rsidR="00000000" w:rsidDel="00000000" w:rsidP="00000000" w:rsidRDefault="00000000" w:rsidRPr="00000000" w14:paraId="0000004A">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4B">
            <w:pPr>
              <w:widowControl w:val="1"/>
              <w:spacing w:line="276" w:lineRule="auto"/>
              <w:rPr>
                <w:sz w:val="22"/>
                <w:szCs w:val="22"/>
              </w:rPr>
            </w:pPr>
            <w:r w:rsidDel="00000000" w:rsidR="00000000" w:rsidRPr="00000000">
              <w:rPr>
                <w:sz w:val="22"/>
                <w:szCs w:val="22"/>
                <w:rtl w:val="0"/>
              </w:rPr>
              <w:t xml:space="preserve">Usualmente desde ingeniería estamos centrados y dirigidos a lo pragmático, sería una buena idea generar la cultura de la participación universitaria, mas allá de incentivar la participación, es ayudar a que se vea necesario la participación del estamento estudiantil en la creación y construcción de universidad. No está tan latente ese sentimiento de pertenencia al alma máter que debemos cuidar y proteger, incentivar y fomentar el sentido de pertenencia con la universidad. Generar esa cultura es posible, desde varios enfoques.</w:t>
            </w:r>
          </w:p>
          <w:p w:rsidR="00000000" w:rsidDel="00000000" w:rsidP="00000000" w:rsidRDefault="00000000" w:rsidRPr="00000000" w14:paraId="0000004C">
            <w:pPr>
              <w:widowControl w:val="1"/>
              <w:spacing w:line="276" w:lineRule="auto"/>
              <w:rPr>
                <w:sz w:val="22"/>
                <w:szCs w:val="22"/>
              </w:rPr>
            </w:pPr>
            <w:r w:rsidDel="00000000" w:rsidR="00000000" w:rsidRPr="00000000">
              <w:rPr>
                <w:sz w:val="22"/>
                <w:szCs w:val="22"/>
                <w:rtl w:val="0"/>
              </w:rPr>
              <w:t xml:space="preserve">Concientizar a las personas de lo que aporta la universidad nacional incluso desde antes de entrar, que la población conozca los aportes de la universidad, generar apropiación en el ciudadano promedio y externo, que conozca que la universidad nacional le aporta.</w:t>
            </w:r>
          </w:p>
          <w:p w:rsidR="00000000" w:rsidDel="00000000" w:rsidP="00000000" w:rsidRDefault="00000000" w:rsidRPr="00000000" w14:paraId="0000004D">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4E">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4F">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50">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51">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52">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53">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54">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55">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56">
            <w:pPr>
              <w:widowControl w:val="1"/>
              <w:spacing w:line="276" w:lineRule="auto"/>
              <w:jc w:val="center"/>
              <w:rPr>
                <w:b w:val="1"/>
                <w:sz w:val="22"/>
                <w:szCs w:val="22"/>
              </w:rPr>
            </w:pPr>
            <w:r w:rsidDel="00000000" w:rsidR="00000000" w:rsidRPr="00000000">
              <w:rPr>
                <w:b w:val="1"/>
                <w:sz w:val="22"/>
                <w:szCs w:val="22"/>
                <w:rtl w:val="0"/>
              </w:rPr>
              <w:t xml:space="preserve">Financiación</w:t>
            </w:r>
          </w:p>
          <w:p w:rsidR="00000000" w:rsidDel="00000000" w:rsidP="00000000" w:rsidRDefault="00000000" w:rsidRPr="00000000" w14:paraId="00000057">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58">
            <w:pPr>
              <w:widowControl w:val="1"/>
              <w:spacing w:line="276" w:lineRule="auto"/>
              <w:rPr>
                <w:sz w:val="22"/>
                <w:szCs w:val="22"/>
              </w:rPr>
            </w:pPr>
            <w:r w:rsidDel="00000000" w:rsidR="00000000" w:rsidRPr="00000000">
              <w:rPr>
                <w:sz w:val="22"/>
                <w:szCs w:val="22"/>
                <w:rtl w:val="0"/>
              </w:rPr>
              <w:t xml:space="preserve">¿Qué estrategias innovadoras puede desarrollar la Universidad para diversificar sus fuentes de financiación y asegurar su sostenibilidad financiera a largo plazo, sin comprometer su carácter público y su misión social?</w:t>
              <w:tab/>
            </w:r>
          </w:p>
          <w:p w:rsidR="00000000" w:rsidDel="00000000" w:rsidP="00000000" w:rsidRDefault="00000000" w:rsidRPr="00000000" w14:paraId="00000059">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5A">
            <w:pPr>
              <w:widowControl w:val="1"/>
              <w:spacing w:line="276" w:lineRule="auto"/>
              <w:rPr>
                <w:sz w:val="22"/>
                <w:szCs w:val="22"/>
              </w:rPr>
            </w:pPr>
            <w:r w:rsidDel="00000000" w:rsidR="00000000" w:rsidRPr="00000000">
              <w:rPr>
                <w:sz w:val="22"/>
                <w:szCs w:val="22"/>
                <w:rtl w:val="0"/>
              </w:rPr>
              <w:t xml:space="preserve">Emisión de bonos universitarios indexados a la inflación, de esta manera recibir financiación externa sin cambiar la propiedad de carácter publico de la universidad, para  no únicamente ser dependientes de los ingresos del estado, sino ratificar la autonomía universitaria desde la parte financiera con la emisión de deuda pública que la universidad misma pueda utilizar para generar rendimientos con la investigación e interacción con la sociedad, para retribuir directamente a la sociedad colombiana, a los prestamistas con los rendimientos de los bonos, y a la sociedad colombiana por medio de los desarrollos profesionales, personales y sociales  que se den con una educación mejor financiada, pública y accesible. Siendo la universidad pública financiada por el público, y no solo por el estado.</w:t>
            </w:r>
          </w:p>
          <w:p w:rsidR="00000000" w:rsidDel="00000000" w:rsidP="00000000" w:rsidRDefault="00000000" w:rsidRPr="00000000" w14:paraId="0000005B">
            <w:pPr>
              <w:widowControl w:val="1"/>
              <w:spacing w:line="276" w:lineRule="auto"/>
              <w:rPr>
                <w:sz w:val="22"/>
                <w:szCs w:val="22"/>
              </w:rPr>
            </w:pPr>
            <w:r w:rsidDel="00000000" w:rsidR="00000000" w:rsidRPr="00000000">
              <w:rPr>
                <w:sz w:val="22"/>
                <w:szCs w:val="22"/>
                <w:rtl w:val="0"/>
              </w:rPr>
              <w:t xml:space="preserve">Además de servicios de consultoría a empresas externas con necesidades para generar una fuente de ingresos adicional.</w:t>
            </w:r>
          </w:p>
          <w:p w:rsidR="00000000" w:rsidDel="00000000" w:rsidP="00000000" w:rsidRDefault="00000000" w:rsidRPr="00000000" w14:paraId="0000005C">
            <w:pPr>
              <w:widowControl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widowControl w:val="1"/>
              <w:spacing w:line="276" w:lineRule="auto"/>
              <w:rPr>
                <w:sz w:val="22"/>
                <w:szCs w:val="22"/>
              </w:rPr>
            </w:pPr>
            <w:r w:rsidDel="00000000" w:rsidR="00000000" w:rsidRPr="00000000">
              <w:rPr>
                <w:sz w:val="22"/>
                <w:szCs w:val="22"/>
                <w:rtl w:val="0"/>
              </w:rPr>
              <w:t xml:space="preserve">¿Cómo podemos proponer un Sistema de Bienestar Universitario que atienda la diversidad de las necesidades y demandas de cada una de las sedes, desde un enfoque de equidad y diferencial de derechos?</w:t>
            </w:r>
          </w:p>
          <w:p w:rsidR="00000000" w:rsidDel="00000000" w:rsidP="00000000" w:rsidRDefault="00000000" w:rsidRPr="00000000" w14:paraId="0000005E">
            <w:pPr>
              <w:widowControl w:val="1"/>
              <w:spacing w:line="276" w:lineRule="auto"/>
              <w:rPr>
                <w:sz w:val="22"/>
                <w:szCs w:val="22"/>
              </w:rPr>
            </w:pPr>
            <w:r w:rsidDel="00000000" w:rsidR="00000000" w:rsidRPr="00000000">
              <w:rPr>
                <w:sz w:val="22"/>
                <w:szCs w:val="22"/>
                <w:rtl w:val="0"/>
              </w:rPr>
              <w:t xml:space="preserve">Se considera que bienestar universitario funciona de manera adecuada haciendo uso eficiente de los recursos que le son dispuestos</w:t>
            </w:r>
          </w:p>
          <w:p w:rsidR="00000000" w:rsidDel="00000000" w:rsidP="00000000" w:rsidRDefault="00000000" w:rsidRPr="00000000" w14:paraId="0000005F">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60">
            <w:pPr>
              <w:widowControl w:val="1"/>
              <w:spacing w:line="276" w:lineRule="auto"/>
              <w:rPr>
                <w:sz w:val="22"/>
                <w:szCs w:val="22"/>
              </w:rPr>
            </w:pPr>
            <w:r w:rsidDel="00000000" w:rsidR="00000000" w:rsidRPr="00000000">
              <w:rPr>
                <w:sz w:val="22"/>
                <w:szCs w:val="22"/>
                <w:rtl w:val="0"/>
              </w:rPr>
              <w:t xml:space="preserve">¿Cómo se deben reorientar y fortalecer los programas de posgrado para mantener su atractivo y pertinencia y de esta forma mejorar los niveles de admisión y matrícula?</w:t>
            </w:r>
          </w:p>
          <w:p w:rsidR="00000000" w:rsidDel="00000000" w:rsidP="00000000" w:rsidRDefault="00000000" w:rsidRPr="00000000" w14:paraId="00000061">
            <w:pPr>
              <w:widowControl w:val="1"/>
              <w:spacing w:line="276" w:lineRule="auto"/>
              <w:rPr>
                <w:sz w:val="22"/>
                <w:szCs w:val="22"/>
              </w:rPr>
            </w:pPr>
            <w:r w:rsidDel="00000000" w:rsidR="00000000" w:rsidRPr="00000000">
              <w:rPr>
                <w:sz w:val="22"/>
                <w:szCs w:val="22"/>
                <w:rtl w:val="0"/>
              </w:rPr>
              <w:t xml:space="preserve">Se pasó el punto debido a ausencia de estudiantes de posgrado</w:t>
            </w:r>
          </w:p>
          <w:p w:rsidR="00000000" w:rsidDel="00000000" w:rsidP="00000000" w:rsidRDefault="00000000" w:rsidRPr="00000000" w14:paraId="00000062">
            <w:pPr>
              <w:widowControl w:val="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3">
            <w:pPr>
              <w:widowControl w:val="1"/>
              <w:spacing w:line="276" w:lineRule="auto"/>
              <w:rPr>
                <w:sz w:val="22"/>
                <w:szCs w:val="22"/>
              </w:rPr>
            </w:pPr>
            <w:r w:rsidDel="00000000" w:rsidR="00000000" w:rsidRPr="00000000">
              <w:rPr>
                <w:sz w:val="22"/>
                <w:szCs w:val="22"/>
                <w:rtl w:val="0"/>
              </w:rPr>
              <w:t xml:space="preserve">¿Cómo puede la Universidad adaptar su oferta académica y sus proyectos de investigación y extensión para responder de forma pertinente a las necesidades específicas de las regiones donde tiene presencia?</w:t>
              <w:tab/>
            </w:r>
          </w:p>
          <w:p w:rsidR="00000000" w:rsidDel="00000000" w:rsidP="00000000" w:rsidRDefault="00000000" w:rsidRPr="00000000" w14:paraId="00000064">
            <w:pPr>
              <w:widowControl w:val="1"/>
              <w:spacing w:line="276" w:lineRule="auto"/>
              <w:rPr>
                <w:sz w:val="22"/>
                <w:szCs w:val="22"/>
              </w:rPr>
            </w:pPr>
            <w:r w:rsidDel="00000000" w:rsidR="00000000" w:rsidRPr="00000000">
              <w:rPr>
                <w:sz w:val="22"/>
                <w:szCs w:val="22"/>
                <w:rtl w:val="0"/>
              </w:rPr>
              <w:t xml:space="preserve">Tener las puertas mas abiertas a escuchar y trabajar sobre necesidades de la comunidad, por ejemplo desde las materias de seminario trabajar sobre proyectos reales, aportando innovación y desde el desarrollo del proyecto aportar y ayudar a satisfacer necesidades de la región. </w:t>
            </w:r>
          </w:p>
          <w:p w:rsidR="00000000" w:rsidDel="00000000" w:rsidP="00000000" w:rsidRDefault="00000000" w:rsidRPr="00000000" w14:paraId="00000065">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66">
            <w:pPr>
              <w:widowControl w:val="1"/>
              <w:spacing w:line="276" w:lineRule="auto"/>
              <w:rPr>
                <w:sz w:val="22"/>
                <w:szCs w:val="22"/>
              </w:rPr>
            </w:pPr>
            <w:r w:rsidDel="00000000" w:rsidR="00000000" w:rsidRPr="00000000">
              <w:rPr>
                <w:sz w:val="22"/>
                <w:szCs w:val="22"/>
                <w:rtl w:val="0"/>
              </w:rPr>
              <w:t xml:space="preserve">¿De qué manera se puede lograr una mayor integración y colaboración entre las diferentes sedes para potenciar el proyecto compartido de universidad y el cierre de brechas entre las sedes, y que a su vez reconozca la autonomía y las particularidades regionales de cada sede?</w:t>
              <w:tab/>
            </w:r>
          </w:p>
          <w:p w:rsidR="00000000" w:rsidDel="00000000" w:rsidP="00000000" w:rsidRDefault="00000000" w:rsidRPr="00000000" w14:paraId="00000067">
            <w:pPr>
              <w:widowControl w:val="1"/>
              <w:spacing w:line="276" w:lineRule="auto"/>
              <w:rPr>
                <w:sz w:val="22"/>
                <w:szCs w:val="22"/>
              </w:rPr>
            </w:pPr>
            <w:r w:rsidDel="00000000" w:rsidR="00000000" w:rsidRPr="00000000">
              <w:rPr>
                <w:sz w:val="22"/>
                <w:szCs w:val="22"/>
                <w:rtl w:val="0"/>
              </w:rPr>
              <w:t xml:space="preserve">Facilitar pasantías entre sedes con el uso, mejora o creación de dormitorios universitarios</w:t>
            </w:r>
          </w:p>
          <w:p w:rsidR="00000000" w:rsidDel="00000000" w:rsidP="00000000" w:rsidRDefault="00000000" w:rsidRPr="00000000" w14:paraId="00000068">
            <w:pPr>
              <w:widowControl w:val="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9">
            <w:pPr>
              <w:widowControl w:val="1"/>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A">
            <w:pPr>
              <w:widowControl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widowControl w:val="1"/>
              <w:spacing w:line="276" w:lineRule="auto"/>
              <w:rPr>
                <w:sz w:val="22"/>
                <w:szCs w:val="22"/>
              </w:rPr>
            </w:pPr>
            <w:r w:rsidDel="00000000" w:rsidR="00000000" w:rsidRPr="00000000">
              <w:rPr>
                <w:sz w:val="22"/>
                <w:szCs w:val="22"/>
                <w:rtl w:val="0"/>
              </w:rPr>
              <w:t xml:space="preserve">¿Cómo evolucionar el modelo de representación para mejorar la participación y la capacidad decisoria de la comunidad estudiantil?</w:t>
              <w:tab/>
            </w:r>
          </w:p>
          <w:p w:rsidR="00000000" w:rsidDel="00000000" w:rsidP="00000000" w:rsidRDefault="00000000" w:rsidRPr="00000000" w14:paraId="0000006C">
            <w:pPr>
              <w:widowControl w:val="1"/>
              <w:spacing w:line="276" w:lineRule="auto"/>
              <w:rPr>
                <w:sz w:val="22"/>
                <w:szCs w:val="22"/>
              </w:rPr>
            </w:pPr>
            <w:r w:rsidDel="00000000" w:rsidR="00000000" w:rsidRPr="00000000">
              <w:rPr>
                <w:sz w:val="22"/>
                <w:szCs w:val="22"/>
                <w:rtl w:val="0"/>
              </w:rPr>
              <w:t xml:space="preserve">Descentralización de la representación estudiantil, se plantea el ejemplo de que la representación de sede no sea una sola persona, sino un consejo formado por representantes de cada facultad a manera de “consejo representativo estudiantil a nivel de sede”, adicional se proporciona el ejemplo de “consejo representativo de facultad” con miembros de cada una de las carreras de la facultad correspondiente, así se mejora y fomenta la participación de todos los </w:t>
            </w:r>
          </w:p>
          <w:p w:rsidR="00000000" w:rsidDel="00000000" w:rsidP="00000000" w:rsidRDefault="00000000" w:rsidRPr="00000000" w14:paraId="0000006D">
            <w:pPr>
              <w:widowControl w:val="1"/>
              <w:spacing w:line="276" w:lineRule="auto"/>
              <w:rPr>
                <w:sz w:val="22"/>
                <w:szCs w:val="22"/>
              </w:rPr>
            </w:pPr>
            <w:r w:rsidDel="00000000" w:rsidR="00000000" w:rsidRPr="00000000">
              <w:rPr>
                <w:sz w:val="22"/>
                <w:szCs w:val="22"/>
                <w:rtl w:val="0"/>
              </w:rPr>
              <w:t xml:space="preserve">interesados y se descentraliza la toma de decisiones a un único representante y su suplente.</w:t>
            </w:r>
          </w:p>
          <w:p w:rsidR="00000000" w:rsidDel="00000000" w:rsidP="00000000" w:rsidRDefault="00000000" w:rsidRPr="00000000" w14:paraId="0000006E">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6F">
            <w:pPr>
              <w:widowControl w:val="1"/>
              <w:spacing w:line="276" w:lineRule="auto"/>
              <w:rPr>
                <w:sz w:val="22"/>
                <w:szCs w:val="22"/>
              </w:rPr>
            </w:pPr>
            <w:r w:rsidDel="00000000" w:rsidR="00000000" w:rsidRPr="00000000">
              <w:rPr>
                <w:sz w:val="22"/>
                <w:szCs w:val="22"/>
                <w:rtl w:val="0"/>
              </w:rPr>
              <w:t xml:space="preserve">¿Qué acciones específicas debería implementar la Universidad Nacional de Colombia para promover la equidad de género, la inclusión de grupos étnicos y con capacidades humanas diversas, en todos los aspectos de la vida universitaria?</w:t>
              <w:tab/>
            </w:r>
          </w:p>
          <w:p w:rsidR="00000000" w:rsidDel="00000000" w:rsidP="00000000" w:rsidRDefault="00000000" w:rsidRPr="00000000" w14:paraId="00000070">
            <w:pPr>
              <w:widowControl w:val="1"/>
              <w:spacing w:line="276" w:lineRule="auto"/>
              <w:rPr>
                <w:sz w:val="22"/>
                <w:szCs w:val="22"/>
              </w:rPr>
            </w:pPr>
            <w:r w:rsidDel="00000000" w:rsidR="00000000" w:rsidRPr="00000000">
              <w:rPr>
                <w:sz w:val="22"/>
                <w:szCs w:val="22"/>
                <w:rtl w:val="0"/>
              </w:rPr>
              <w:t xml:space="preserve">Se considera que la universidad está abordando de manera adecuada estas problemáticas</w:t>
            </w:r>
          </w:p>
          <w:p w:rsidR="00000000" w:rsidDel="00000000" w:rsidP="00000000" w:rsidRDefault="00000000" w:rsidRPr="00000000" w14:paraId="00000071">
            <w:pPr>
              <w:widowControl w:val="1"/>
              <w:spacing w:line="276" w:lineRule="auto"/>
              <w:rPr>
                <w:sz w:val="22"/>
                <w:szCs w:val="22"/>
              </w:rPr>
            </w:pPr>
            <w:r w:rsidDel="00000000" w:rsidR="00000000" w:rsidRPr="00000000">
              <w:rPr>
                <w:rtl w:val="0"/>
              </w:rPr>
            </w:r>
          </w:p>
          <w:p w:rsidR="00000000" w:rsidDel="00000000" w:rsidP="00000000" w:rsidRDefault="00000000" w:rsidRPr="00000000" w14:paraId="00000072">
            <w:pPr>
              <w:widowControl w:val="1"/>
              <w:spacing w:line="276" w:lineRule="auto"/>
              <w:rPr>
                <w:rFonts w:ascii="Calibri" w:cs="Calibri" w:eastAsia="Calibri" w:hAnsi="Calibri"/>
                <w:color w:val="000000"/>
                <w:sz w:val="22"/>
                <w:szCs w:val="22"/>
              </w:rPr>
            </w:pPr>
            <w:r w:rsidDel="00000000" w:rsidR="00000000" w:rsidRPr="00000000">
              <w:rPr>
                <w:sz w:val="22"/>
                <w:szCs w:val="22"/>
                <w:rtl w:val="0"/>
              </w:rPr>
              <w:t xml:space="preserve">¿Cómo puede la Universidad fomentar una cultura de emprendimiento e innovación entre sus estudiantes y egresados, que responda a las necesidades de desarrollo regional y nacional?</w:t>
              <w:br w:type="textWrapping"/>
              <w:t xml:space="preserve">No había egresados en la reunión</w:t>
            </w:r>
            <w:r w:rsidDel="00000000" w:rsidR="00000000" w:rsidRPr="00000000">
              <w:rPr>
                <w:rtl w:val="0"/>
              </w:rPr>
            </w:r>
          </w:p>
        </w:tc>
      </w:tr>
    </w:tbl>
    <w:p w:rsidR="00000000" w:rsidDel="00000000" w:rsidP="00000000" w:rsidRDefault="00000000" w:rsidRPr="00000000" w14:paraId="00000073">
      <w:pPr>
        <w:jc w:val="both"/>
        <w:rPr>
          <w:rFonts w:ascii="Calibri" w:cs="Calibri" w:eastAsia="Calibri" w:hAnsi="Calibri"/>
          <w:sz w:val="22"/>
          <w:szCs w:val="22"/>
        </w:rPr>
      </w:pPr>
      <w:r w:rsidDel="00000000" w:rsidR="00000000" w:rsidRPr="00000000">
        <w:rPr>
          <w:rtl w:val="0"/>
        </w:rPr>
      </w:r>
    </w:p>
    <w:tbl>
      <w:tblPr>
        <w:tblStyle w:val="Table3"/>
        <w:tblW w:w="9639.0" w:type="dxa"/>
        <w:jc w:val="left"/>
        <w:tblInd w:w="-5.0" w:type="dxa"/>
        <w:tblLayout w:type="fixed"/>
        <w:tblLook w:val="0400"/>
      </w:tblPr>
      <w:tblGrid>
        <w:gridCol w:w="4253"/>
        <w:gridCol w:w="1276"/>
        <w:gridCol w:w="2126"/>
        <w:gridCol w:w="1984"/>
        <w:tblGridChange w:id="0">
          <w:tblGrid>
            <w:gridCol w:w="4253"/>
            <w:gridCol w:w="1276"/>
            <w:gridCol w:w="2126"/>
            <w:gridCol w:w="1984"/>
          </w:tblGrid>
        </w:tblGridChange>
      </w:tblGrid>
      <w:tr>
        <w:trPr>
          <w:cantSplit w:val="0"/>
          <w:trHeight w:val="238"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4">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Compromisos Previos</w:t>
            </w:r>
          </w:p>
        </w:tc>
      </w:tr>
      <w:tr>
        <w:trPr>
          <w:cantSplit w:val="0"/>
          <w:trHeight w:val="476"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8">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Actividad</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79">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Fecha Prevista fin</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7A">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Responsable</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7B">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Avance</w:t>
            </w:r>
          </w:p>
        </w:tc>
      </w:tr>
      <w:tr>
        <w:trPr>
          <w:cantSplit w:val="0"/>
          <w:trHeight w:val="27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widowControl w:val="1"/>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D">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E">
            <w:pPr>
              <w:widowControl w:val="1"/>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7F">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0">
      <w:pPr>
        <w:jc w:val="both"/>
        <w:rPr>
          <w:rFonts w:ascii="Calibri" w:cs="Calibri" w:eastAsia="Calibri" w:hAnsi="Calibri"/>
          <w:sz w:val="22"/>
          <w:szCs w:val="22"/>
        </w:rPr>
      </w:pPr>
      <w:r w:rsidDel="00000000" w:rsidR="00000000" w:rsidRPr="00000000">
        <w:rPr>
          <w:rtl w:val="0"/>
        </w:rPr>
      </w:r>
    </w:p>
    <w:tbl>
      <w:tblPr>
        <w:tblStyle w:val="Table4"/>
        <w:tblW w:w="9639.0" w:type="dxa"/>
        <w:jc w:val="left"/>
        <w:tblInd w:w="-5.0" w:type="dxa"/>
        <w:tblLayout w:type="fixed"/>
        <w:tblLook w:val="0400"/>
      </w:tblPr>
      <w:tblGrid>
        <w:gridCol w:w="4253"/>
        <w:gridCol w:w="1276"/>
        <w:gridCol w:w="2126"/>
        <w:gridCol w:w="1984"/>
        <w:tblGridChange w:id="0">
          <w:tblGrid>
            <w:gridCol w:w="4253"/>
            <w:gridCol w:w="1276"/>
            <w:gridCol w:w="2126"/>
            <w:gridCol w:w="1984"/>
          </w:tblGrid>
        </w:tblGridChange>
      </w:tblGrid>
      <w:tr>
        <w:trPr>
          <w:cantSplit w:val="0"/>
          <w:trHeight w:val="240"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1">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Nuevos Compromisos</w:t>
            </w:r>
          </w:p>
        </w:tc>
      </w:tr>
      <w:tr>
        <w:trPr>
          <w:cantSplit w:val="0"/>
          <w:trHeight w:val="480"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5">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Actividad</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86">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Fecha Prevista fin</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87">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Responsable</w:t>
            </w:r>
          </w:p>
        </w:tc>
        <w:tc>
          <w:tcPr>
            <w:tcBorders>
              <w:top w:color="000000" w:space="0" w:sz="4" w:val="single"/>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88">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Avance</w:t>
            </w:r>
          </w:p>
        </w:tc>
      </w:tr>
      <w:tr>
        <w:trPr>
          <w:cantSplit w:val="0"/>
          <w:trHeight w:val="7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8A">
            <w:pPr>
              <w:widowControl w:val="1"/>
              <w:jc w:val="cente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B">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C">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8D">
            <w:pPr>
              <w:widowControl w:val="1"/>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8E">
      <w:pPr>
        <w:jc w:val="both"/>
        <w:rPr>
          <w:rFonts w:ascii="Calibri" w:cs="Calibri" w:eastAsia="Calibri" w:hAnsi="Calibri"/>
          <w:sz w:val="22"/>
          <w:szCs w:val="22"/>
        </w:rPr>
      </w:pPr>
      <w:r w:rsidDel="00000000" w:rsidR="00000000" w:rsidRPr="00000000">
        <w:rPr>
          <w:rtl w:val="0"/>
        </w:rPr>
      </w:r>
    </w:p>
    <w:tbl>
      <w:tblPr>
        <w:tblStyle w:val="Table5"/>
        <w:tblW w:w="9657.0" w:type="dxa"/>
        <w:jc w:val="left"/>
        <w:tblInd w:w="-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7"/>
        <w:tblGridChange w:id="0">
          <w:tblGrid>
            <w:gridCol w:w="9657"/>
          </w:tblGrid>
        </w:tblGridChange>
      </w:tblGrid>
      <w:tr>
        <w:trPr>
          <w:cantSplit w:val="0"/>
          <w:trHeight w:val="272" w:hRule="atLeast"/>
          <w:tblHeader w:val="0"/>
        </w:trPr>
        <w:tc>
          <w:tcPr>
            <w:shd w:fill="f2f2f2" w:val="clear"/>
            <w:vAlign w:val="bottom"/>
          </w:tcPr>
          <w:p w:rsidR="00000000" w:rsidDel="00000000" w:rsidP="00000000" w:rsidRDefault="00000000" w:rsidRPr="00000000" w14:paraId="0000008F">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Anexos</w:t>
            </w:r>
          </w:p>
        </w:tc>
      </w:tr>
      <w:tr>
        <w:trPr>
          <w:cantSplit w:val="0"/>
          <w:trHeight w:val="1579" w:hRule="atLeast"/>
          <w:tblHeader w:val="0"/>
        </w:trPr>
        <w:tc>
          <w:tcPr>
            <w:shd w:fill="auto" w:val="clear"/>
            <w:vAlign w:val="bottom"/>
          </w:tcPr>
          <w:p w:rsidR="00000000" w:rsidDel="00000000" w:rsidP="00000000" w:rsidRDefault="00000000" w:rsidRPr="00000000" w14:paraId="00000090">
            <w:pPr>
              <w:widowControl w:val="1"/>
              <w:rPr>
                <w:rFonts w:ascii="Calibri" w:cs="Calibri" w:eastAsia="Calibri" w:hAnsi="Calibri"/>
                <w:color w:val="000000"/>
                <w:sz w:val="22"/>
                <w:szCs w:val="22"/>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91">
            <w:pPr>
              <w:widowControl w:val="1"/>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2">
            <w:pPr>
              <w:widowControl w:val="1"/>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93">
      <w:pPr>
        <w:jc w:val="both"/>
        <w:rPr>
          <w:rFonts w:ascii="Calibri" w:cs="Calibri" w:eastAsia="Calibri" w:hAnsi="Calibri"/>
          <w:sz w:val="22"/>
          <w:szCs w:val="22"/>
        </w:rPr>
      </w:pPr>
      <w:r w:rsidDel="00000000" w:rsidR="00000000" w:rsidRPr="00000000">
        <w:rPr>
          <w:rtl w:val="0"/>
        </w:rPr>
      </w:r>
    </w:p>
    <w:tbl>
      <w:tblPr>
        <w:tblStyle w:val="Table6"/>
        <w:tblW w:w="9639.0" w:type="dxa"/>
        <w:jc w:val="left"/>
        <w:tblInd w:w="-5.0" w:type="dxa"/>
        <w:tblLayout w:type="fixed"/>
        <w:tblLook w:val="0400"/>
      </w:tblPr>
      <w:tblGrid>
        <w:gridCol w:w="4395"/>
        <w:gridCol w:w="3260"/>
        <w:gridCol w:w="1984"/>
        <w:tblGridChange w:id="0">
          <w:tblGrid>
            <w:gridCol w:w="4395"/>
            <w:gridCol w:w="3260"/>
            <w:gridCol w:w="1984"/>
          </w:tblGrid>
        </w:tblGridChange>
      </w:tblGrid>
      <w:tr>
        <w:trPr>
          <w:cantSplit w:val="0"/>
          <w:trHeight w:val="29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4">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Asistentes o Ver Lista de Asistencia</w:t>
            </w:r>
          </w:p>
        </w:tc>
      </w:tr>
      <w:tr>
        <w:trPr>
          <w:cantSplit w:val="0"/>
          <w:trHeight w:val="295"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7">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Nombre</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98">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Área y Cargo</w:t>
            </w:r>
          </w:p>
        </w:tc>
        <w:tc>
          <w:tcPr>
            <w:tcBorders>
              <w:top w:color="000000" w:space="0" w:sz="0" w:val="nil"/>
              <w:left w:color="000000" w:space="0" w:sz="0" w:val="nil"/>
              <w:bottom w:color="000000" w:space="0" w:sz="4" w:val="single"/>
              <w:right w:color="000000" w:space="0" w:sz="4" w:val="single"/>
            </w:tcBorders>
            <w:shd w:fill="f2f2f2" w:val="clear"/>
            <w:vAlign w:val="center"/>
          </w:tcPr>
          <w:p w:rsidR="00000000" w:rsidDel="00000000" w:rsidP="00000000" w:rsidRDefault="00000000" w:rsidRPr="00000000" w14:paraId="00000099">
            <w:pPr>
              <w:widowControl w:val="1"/>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Firma</w:t>
            </w:r>
          </w:p>
        </w:tc>
      </w:tr>
      <w:tr>
        <w:trPr>
          <w:cantSplit w:val="0"/>
          <w:trHeight w:val="2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B">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C">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09D">
      <w:pPr>
        <w:jc w:val="both"/>
        <w:rPr>
          <w:rFonts w:ascii="Calibri" w:cs="Calibri" w:eastAsia="Calibri" w:hAnsi="Calibri"/>
          <w:sz w:val="22"/>
          <w:szCs w:val="22"/>
        </w:rPr>
      </w:pPr>
      <w:r w:rsidDel="00000000" w:rsidR="00000000" w:rsidRPr="00000000">
        <w:rPr>
          <w:rtl w:val="0"/>
        </w:rPr>
      </w:r>
    </w:p>
    <w:tbl>
      <w:tblPr>
        <w:tblStyle w:val="Table7"/>
        <w:tblW w:w="9639.0" w:type="dxa"/>
        <w:jc w:val="left"/>
        <w:tblInd w:w="-5.0" w:type="dxa"/>
        <w:tblLayout w:type="fixed"/>
        <w:tblLook w:val="0400"/>
      </w:tblPr>
      <w:tblGrid>
        <w:gridCol w:w="3402"/>
        <w:gridCol w:w="6237"/>
        <w:tblGridChange w:id="0">
          <w:tblGrid>
            <w:gridCol w:w="3402"/>
            <w:gridCol w:w="6237"/>
          </w:tblGrid>
        </w:tblGridChange>
      </w:tblGrid>
      <w:tr>
        <w:trPr>
          <w:cantSplit w:val="0"/>
          <w:trHeight w:val="59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E">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Responsable Elaboración del Acta: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9F">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A0">
            <w:pPr>
              <w:widowControl w:val="1"/>
              <w:rPr>
                <w:rFonts w:ascii="Calibri" w:cs="Calibri" w:eastAsia="Calibri" w:hAnsi="Calibri"/>
                <w:color w:val="000000"/>
                <w:sz w:val="22"/>
                <w:szCs w:val="22"/>
              </w:rPr>
            </w:pPr>
            <w:r w:rsidDel="00000000" w:rsidR="00000000" w:rsidRPr="00000000">
              <w:rPr>
                <w:rtl w:val="0"/>
              </w:rPr>
            </w:r>
          </w:p>
        </w:tc>
      </w:tr>
      <w:tr>
        <w:trPr>
          <w:cantSplit w:val="0"/>
          <w:trHeight w:val="667" w:hRule="atLeast"/>
          <w:tblHeader w:val="0"/>
        </w:trPr>
        <w:tc>
          <w:tcPr>
            <w:tcBorders>
              <w:top w:color="000000" w:space="0" w:sz="0" w:val="nil"/>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1">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Nombre y Firma del Responsable o Líder de la Reunión: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A2">
            <w:pPr>
              <w:widowControl w:val="1"/>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bl>
    <w:p w:rsidR="00000000" w:rsidDel="00000000" w:rsidP="00000000" w:rsidRDefault="00000000" w:rsidRPr="00000000" w14:paraId="000000A3">
      <w:pPr>
        <w:jc w:val="both"/>
        <w:rPr>
          <w:rFonts w:ascii="Calibri" w:cs="Calibri" w:eastAsia="Calibri" w:hAnsi="Calibri"/>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701" w:header="68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ab/>
      <w:tab/>
      <w:t xml:space="preserve">Página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de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spacing w:before="30" w:lineRule="auto"/>
      <w:rPr>
        <w:rFonts w:ascii="Calibri" w:cs="Calibri" w:eastAsia="Calibri" w:hAnsi="Calibri"/>
        <w:b w:val="1"/>
        <w:i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3613479</wp:posOffset>
          </wp:positionH>
          <wp:positionV relativeFrom="paragraph">
            <wp:posOffset>-411479</wp:posOffset>
          </wp:positionV>
          <wp:extent cx="2493645" cy="131064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93645" cy="1310640"/>
                  </a:xfrm>
                  <a:prstGeom prst="rect"/>
                  <a:ln/>
                </pic:spPr>
              </pic:pic>
            </a:graphicData>
          </a:graphic>
        </wp:anchor>
      </w:drawing>
    </w:r>
  </w:p>
  <w:p w:rsidR="00000000" w:rsidDel="00000000" w:rsidP="00000000" w:rsidRDefault="00000000" w:rsidRPr="00000000" w14:paraId="000000A6">
    <w:pPr>
      <w:rPr>
        <w:rFonts w:ascii="Calibri" w:cs="Calibri" w:eastAsia="Calibri" w:hAnsi="Calibri"/>
        <w:b w:val="1"/>
        <w:i w:val="1"/>
      </w:rPr>
    </w:pPr>
    <w:r w:rsidDel="00000000" w:rsidR="00000000" w:rsidRPr="00000000">
      <w:rPr>
        <w:rFonts w:ascii="Calibri" w:cs="Calibri" w:eastAsia="Calibri" w:hAnsi="Calibri"/>
        <w:b w:val="1"/>
        <w:i w:val="1"/>
        <w:rtl w:val="0"/>
      </w:rPr>
      <w:t xml:space="preserve">Acta de Reunión o Evento Institucional</w:t>
    </w:r>
  </w:p>
  <w:p w:rsidR="00000000" w:rsidDel="00000000" w:rsidP="00000000" w:rsidRDefault="00000000" w:rsidRPr="00000000" w14:paraId="000000A7">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A8">
    <w:pPr>
      <w:rPr>
        <w:rFonts w:ascii="Calibri" w:cs="Calibri" w:eastAsia="Calibri" w:hAnsi="Calibri"/>
        <w:b w:val="1"/>
        <w:i w:val="1"/>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C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2"/>
      <w:szCs w:val="22"/>
    </w:rPr>
  </w:style>
  <w:style w:type="paragraph" w:styleId="Heading2">
    <w:name w:val="heading 2"/>
    <w:basedOn w:val="Normal"/>
    <w:next w:val="Normal"/>
    <w:pPr>
      <w:keepNext w:val="1"/>
      <w:jc w:val="right"/>
    </w:pPr>
    <w:rPr>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4043"/>
    <w:pPr>
      <w:widowControl w:val="0"/>
      <w:autoSpaceDE w:val="0"/>
      <w:autoSpaceDN w:val="0"/>
    </w:pPr>
    <w:rPr>
      <w:rFonts w:ascii="Arial" w:cs="Arial" w:hAnsi="Arial"/>
      <w:sz w:val="24"/>
      <w:szCs w:val="24"/>
      <w:lang w:eastAsia="es-ES" w:val="es-ES_tradnl"/>
    </w:rPr>
  </w:style>
  <w:style w:type="paragraph" w:styleId="Ttulo1">
    <w:name w:val="heading 1"/>
    <w:basedOn w:val="Normal"/>
    <w:next w:val="Normal"/>
    <w:qFormat w:val="1"/>
    <w:rsid w:val="00554043"/>
    <w:pPr>
      <w:keepNext w:val="1"/>
      <w:jc w:val="center"/>
      <w:outlineLvl w:val="0"/>
    </w:pPr>
    <w:rPr>
      <w:b w:val="1"/>
      <w:bCs w:val="1"/>
      <w:sz w:val="22"/>
      <w:szCs w:val="22"/>
    </w:rPr>
  </w:style>
  <w:style w:type="paragraph" w:styleId="Ttulo2">
    <w:name w:val="heading 2"/>
    <w:basedOn w:val="Normal"/>
    <w:next w:val="Normal"/>
    <w:qFormat w:val="1"/>
    <w:rsid w:val="00554043"/>
    <w:pPr>
      <w:keepNext w:val="1"/>
      <w:jc w:val="right"/>
      <w:outlineLvl w:val="1"/>
    </w:pPr>
    <w:rPr>
      <w:b w:val="1"/>
      <w:bCs w:val="1"/>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val="1"/>
    <w:rsid w:val="00554043"/>
    <w:pPr>
      <w:shd w:color="auto" w:fill="000080" w:val="clear"/>
    </w:pPr>
    <w:rPr>
      <w:rFonts w:ascii="Tahoma" w:cs="Tahoma" w:hAnsi="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styleId="TextocomentarioCar" w:customStyle="1">
    <w:name w:val="Texto comentario Car"/>
    <w:basedOn w:val="Fuentedeprrafopredeter"/>
    <w:link w:val="Textocomentario"/>
    <w:rsid w:val="003C3DA0"/>
    <w:rPr>
      <w:rFonts w:ascii="Arial" w:cs="Arial" w:hAnsi="Arial"/>
      <w:lang w:eastAsia="es-ES" w:val="es-ES_tradnl"/>
    </w:rPr>
  </w:style>
  <w:style w:type="paragraph" w:styleId="Asuntodelcomentario">
    <w:name w:val="annotation subject"/>
    <w:basedOn w:val="Textocomentario"/>
    <w:next w:val="Textocomentario"/>
    <w:link w:val="AsuntodelcomentarioCar"/>
    <w:rsid w:val="003C3DA0"/>
    <w:rPr>
      <w:b w:val="1"/>
      <w:bCs w:val="1"/>
    </w:rPr>
  </w:style>
  <w:style w:type="character" w:styleId="AsuntodelcomentarioCar" w:customStyle="1">
    <w:name w:val="Asunto del comentario Car"/>
    <w:basedOn w:val="TextocomentarioCar"/>
    <w:link w:val="Asuntodelcomentario"/>
    <w:rsid w:val="003C3DA0"/>
    <w:rPr>
      <w:rFonts w:ascii="Arial" w:cs="Arial" w:hAnsi="Arial"/>
      <w:b w:val="1"/>
      <w:bCs w:val="1"/>
      <w:lang w:eastAsia="es-ES" w:val="es-ES_tradnl"/>
    </w:rPr>
  </w:style>
  <w:style w:type="paragraph" w:styleId="Textodeglobo">
    <w:name w:val="Balloon Text"/>
    <w:basedOn w:val="Normal"/>
    <w:link w:val="TextodegloboCar"/>
    <w:rsid w:val="003C3DA0"/>
    <w:rPr>
      <w:rFonts w:ascii="Tahoma" w:cs="Tahoma" w:hAnsi="Tahoma"/>
      <w:sz w:val="16"/>
      <w:szCs w:val="16"/>
    </w:rPr>
  </w:style>
  <w:style w:type="character" w:styleId="TextodegloboCar" w:customStyle="1">
    <w:name w:val="Texto de globo Car"/>
    <w:basedOn w:val="Fuentedeprrafopredeter"/>
    <w:link w:val="Textodeglobo"/>
    <w:rsid w:val="003C3DA0"/>
    <w:rPr>
      <w:rFonts w:ascii="Tahoma" w:cs="Tahoma" w:hAnsi="Tahoma"/>
      <w:sz w:val="16"/>
      <w:szCs w:val="16"/>
      <w:lang w:eastAsia="es-ES" w:val="es-ES_tradnl"/>
    </w:rPr>
  </w:style>
  <w:style w:type="paragraph" w:styleId="Prrafodelista">
    <w:name w:val="List Paragraph"/>
    <w:basedOn w:val="Normal"/>
    <w:uiPriority w:val="34"/>
    <w:qFormat w:val="1"/>
    <w:rsid w:val="005D1F0C"/>
    <w:pPr>
      <w:widowControl w:val="1"/>
      <w:autoSpaceDE w:val="1"/>
      <w:autoSpaceDN w:val="1"/>
      <w:ind w:left="720"/>
      <w:contextualSpacing w:val="1"/>
    </w:pPr>
    <w:rPr>
      <w:rFonts w:ascii="Times New Roman" w:cs="Times New Roman" w:hAnsi="Times New Roman"/>
      <w:lang w:val="es-ES"/>
    </w:rPr>
  </w:style>
  <w:style w:type="paragraph" w:styleId="NormalWeb">
    <w:name w:val="Normal (Web)"/>
    <w:basedOn w:val="Normal"/>
    <w:uiPriority w:val="99"/>
    <w:unhideWhenUsed w:val="1"/>
    <w:rsid w:val="00F61F24"/>
    <w:pPr>
      <w:widowControl w:val="1"/>
      <w:autoSpaceDE w:val="1"/>
      <w:autoSpaceDN w:val="1"/>
      <w:spacing w:after="100" w:afterAutospacing="1" w:before="100" w:beforeAutospacing="1" w:line="336" w:lineRule="auto"/>
    </w:pPr>
    <w:rPr>
      <w:rFonts w:ascii="Times New Roman" w:cs="Times New Roman" w:hAnsi="Times New Roman"/>
      <w:sz w:val="31"/>
      <w:szCs w:val="31"/>
      <w:lang w:val="es-ES"/>
    </w:rPr>
  </w:style>
  <w:style w:type="paragraph" w:styleId="Default" w:customStyle="1">
    <w:name w:val="Default"/>
    <w:rsid w:val="006504FE"/>
    <w:pPr>
      <w:autoSpaceDE w:val="0"/>
      <w:autoSpaceDN w:val="0"/>
      <w:adjustRightInd w:val="0"/>
    </w:pPr>
    <w:rPr>
      <w:rFonts w:ascii="Arial" w:cs="Arial" w:hAnsi="Arial"/>
      <w:color w:val="000000"/>
      <w:sz w:val="24"/>
      <w:szCs w:val="24"/>
    </w:rPr>
  </w:style>
  <w:style w:type="character" w:styleId="nfasis">
    <w:name w:val="Emphasis"/>
    <w:basedOn w:val="Fuentedeprrafopredeter"/>
    <w:uiPriority w:val="20"/>
    <w:qFormat w:val="1"/>
    <w:rsid w:val="00FE3F40"/>
    <w:rPr>
      <w:i w:val="1"/>
      <w:iCs w:val="1"/>
    </w:rPr>
  </w:style>
  <w:style w:type="character" w:styleId="EncabezadoCar" w:customStyle="1">
    <w:name w:val="Encabezado Car"/>
    <w:basedOn w:val="Fuentedeprrafopredeter"/>
    <w:link w:val="Encabezado"/>
    <w:uiPriority w:val="99"/>
    <w:rsid w:val="00094073"/>
    <w:rPr>
      <w:rFonts w:ascii="Arial" w:cs="Arial" w:hAnsi="Arial"/>
      <w:sz w:val="24"/>
      <w:szCs w:val="24"/>
      <w:lang w:eastAsia="es-ES" w:val="es-ES_tradnl"/>
    </w:rPr>
  </w:style>
  <w:style w:type="table" w:styleId="Tablaconcuadrcula">
    <w:name w:val="Table Grid"/>
    <w:basedOn w:val="Tablanormal"/>
    <w:uiPriority w:val="59"/>
    <w:rsid w:val="00094073"/>
    <w:rPr>
      <w:rFonts w:asciiTheme="minorHAnsi" w:cstheme="minorBidi" w:eastAsiaTheme="minorHAnsi" w:hAnsiTheme="minorHAnsi"/>
      <w:sz w:val="22"/>
      <w:szCs w:val="22"/>
      <w:lang w:eastAsia="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iedepginaCar" w:customStyle="1">
    <w:name w:val="Pie de página Car"/>
    <w:basedOn w:val="Fuentedeprrafopredeter"/>
    <w:link w:val="Piedepgina"/>
    <w:uiPriority w:val="99"/>
    <w:rsid w:val="00094073"/>
    <w:rPr>
      <w:rFonts w:ascii="Arial" w:cs="Arial" w:hAnsi="Arial"/>
      <w:sz w:val="24"/>
      <w:szCs w:val="24"/>
      <w:lang w:eastAsia="es-ES" w:val="es-ES_trad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MwiDg5tgIsNnSMzGBdoiVjz7A==">CgMxLjAyCGguZ2pkZ3hzOAByITFDWXpfdVVnVEl0eUpvcVlVTE5uX054RjJUSWhUYzhmQw==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2024-09-04T16:29:00Z</dcterms:created>
  <dc:creator>Gustavo A. Ortegón M.</dc:creator>
</cp:coreProperties>
</file>